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240"/>
        <w:gridCol w:w="1440"/>
        <w:gridCol w:w="720"/>
        <w:gridCol w:w="2880"/>
      </w:tblGrid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File Code: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1F" w:rsidRDefault="006D3138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0" w:name="FileCode"/>
            <w:r>
              <w:rPr>
                <w:color w:val="auto"/>
              </w:rPr>
              <w:t>6300/5100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6D3138">
            <w:pPr>
              <w:pStyle w:val="TextEntry"/>
              <w:widowControl/>
              <w:ind w:right="144"/>
              <w:rPr>
                <w:color w:val="auto"/>
              </w:rPr>
            </w:pPr>
            <w:bookmarkStart w:id="1" w:name="SigDate"/>
            <w:r>
              <w:rPr>
                <w:color w:val="auto"/>
              </w:rPr>
              <w:t>April 23, 2010</w:t>
            </w:r>
            <w:bookmarkEnd w:id="1"/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Route To: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531F" w:rsidRDefault="006D3138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2" w:name="RouteToCode"/>
            <w:r>
              <w:rPr>
                <w:color w:val="auto"/>
              </w:rPr>
              <w:t xml:space="preserve"> </w:t>
            </w:r>
            <w:bookmarkEnd w:id="2"/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TextEntry"/>
              <w:widowControl/>
              <w:ind w:left="144" w:right="144"/>
              <w:rPr>
                <w:color w:val="auto"/>
              </w:rPr>
            </w:pPr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Subject: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531F" w:rsidRDefault="006D3138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3" w:name="docSubject"/>
            <w:r>
              <w:rPr>
                <w:color w:val="auto"/>
              </w:rPr>
              <w:t>2011 National Solicitation Template Review</w:t>
            </w:r>
            <w:bookmarkStart w:id="4" w:name="docSubject2"/>
            <w:bookmarkEnd w:id="3"/>
            <w:r>
              <w:rPr>
                <w:color w:val="auto"/>
              </w:rPr>
              <w:t xml:space="preserve"> </w:t>
            </w:r>
            <w:bookmarkStart w:id="5" w:name="docSubject3"/>
            <w:bookmarkEnd w:id="4"/>
            <w:r>
              <w:rPr>
                <w:color w:val="auto"/>
              </w:rPr>
              <w:t xml:space="preserve"> </w:t>
            </w:r>
            <w:bookmarkStart w:id="6" w:name="docSubject4"/>
            <w:bookmarkEnd w:id="5"/>
            <w:r>
              <w:rPr>
                <w:color w:val="auto"/>
              </w:rPr>
              <w:t xml:space="preserve"> </w:t>
            </w:r>
            <w:bookmarkEnd w:id="6"/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TextEntry"/>
              <w:widowControl/>
              <w:ind w:left="144" w:right="144"/>
              <w:rPr>
                <w:color w:val="auto"/>
              </w:rPr>
            </w:pPr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To: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531F" w:rsidRDefault="006D3138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7" w:name="Addressee"/>
            <w:r>
              <w:rPr>
                <w:color w:val="auto"/>
              </w:rPr>
              <w:t xml:space="preserve">Regional Foresters, Station Directors, Area Director, IITF Director and Deputy Chiefs </w:t>
            </w:r>
            <w:bookmarkStart w:id="8" w:name="Addressee2"/>
            <w:bookmarkEnd w:id="7"/>
            <w:r>
              <w:rPr>
                <w:color w:val="auto"/>
              </w:rPr>
              <w:t xml:space="preserve"> </w:t>
            </w:r>
            <w:bookmarkStart w:id="9" w:name="Addressee3"/>
            <w:bookmarkEnd w:id="8"/>
            <w:r>
              <w:rPr>
                <w:color w:val="auto"/>
              </w:rPr>
              <w:t xml:space="preserve"> </w:t>
            </w:r>
            <w:bookmarkStart w:id="10" w:name="Addressee4"/>
            <w:bookmarkEnd w:id="9"/>
            <w:r>
              <w:rPr>
                <w:color w:val="auto"/>
              </w:rPr>
              <w:t xml:space="preserve"> </w:t>
            </w:r>
            <w:bookmarkEnd w:id="10"/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TextEntry"/>
              <w:widowControl/>
              <w:ind w:left="144" w:right="144"/>
              <w:jc w:val="right"/>
              <w:rPr>
                <w:color w:val="auto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31F" w:rsidRDefault="001A531F">
            <w:pPr>
              <w:pStyle w:val="TextEntry"/>
              <w:widowControl/>
              <w:ind w:left="144" w:right="144"/>
              <w:rPr>
                <w:color w:val="auto"/>
              </w:rPr>
            </w:pPr>
          </w:p>
        </w:tc>
      </w:tr>
      <w:tr w:rsidR="001A5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531F" w:rsidRDefault="006D3138">
            <w:pPr>
              <w:pStyle w:val="TextEntry"/>
              <w:widowControl/>
              <w:ind w:left="144" w:right="144"/>
              <w:jc w:val="center"/>
              <w:rPr>
                <w:b/>
                <w:color w:val="auto"/>
              </w:rPr>
            </w:pPr>
            <w:bookmarkStart w:id="11" w:name="ReplyDue"/>
            <w:r>
              <w:rPr>
                <w:b/>
                <w:color w:val="auto"/>
              </w:rPr>
              <w:t>OPTIONAL REPLY DUE MAY 23, 2010</w:t>
            </w:r>
            <w:bookmarkEnd w:id="11"/>
          </w:p>
          <w:p w:rsidR="00CA2A99" w:rsidRDefault="00CA2A99">
            <w:pPr>
              <w:pStyle w:val="TextEntry"/>
              <w:widowControl/>
              <w:ind w:left="144" w:right="144"/>
              <w:jc w:val="center"/>
              <w:rPr>
                <w:b/>
                <w:color w:val="auto"/>
              </w:rPr>
            </w:pPr>
          </w:p>
        </w:tc>
      </w:tr>
    </w:tbl>
    <w:p w:rsidR="00A175AB" w:rsidRDefault="00A175AB" w:rsidP="00A175AB">
      <w:pPr>
        <w:pStyle w:val="Paragraph"/>
        <w:widowControl/>
      </w:pPr>
      <w:r>
        <w:t xml:space="preserve">National solicitation templates have been </w:t>
      </w:r>
      <w:r w:rsidR="002769B9">
        <w:t xml:space="preserve">developed </w:t>
      </w:r>
      <w:r>
        <w:t>for equipment to be competitively solicited to support fire suppression and all-risk incidents in 2011.  S</w:t>
      </w:r>
      <w:r w:rsidR="00CA2A99">
        <w:t>ix of these are resolicitations</w:t>
      </w:r>
      <w:r>
        <w:t xml:space="preserve"> originally solicited in 2008, and two are new s</w:t>
      </w:r>
      <w:r w:rsidR="002769B9">
        <w:t xml:space="preserve">olicitations that were </w:t>
      </w:r>
      <w:r>
        <w:t>previously</w:t>
      </w:r>
      <w:r w:rsidR="002769B9">
        <w:t xml:space="preserve"> deferred</w:t>
      </w:r>
      <w:r>
        <w:t>.  Input across a variety of disciplines is critical to ensure that requirements meet the needs of incident management teams.</w:t>
      </w:r>
      <w:r w:rsidRPr="008416D5">
        <w:t xml:space="preserve"> </w:t>
      </w:r>
      <w:r>
        <w:t xml:space="preserve"> Please distribute widely to provide an opportunity for acquisition, finance, fire operations, and logistics personnel to review the templates.  </w:t>
      </w:r>
    </w:p>
    <w:p w:rsidR="00A175AB" w:rsidRDefault="00A175AB" w:rsidP="00A175AB">
      <w:pPr>
        <w:rPr>
          <w:bCs/>
        </w:rPr>
      </w:pPr>
      <w:r>
        <w:t xml:space="preserve">Final draft requirements for equipment </w:t>
      </w:r>
      <w:r w:rsidR="00BF3338">
        <w:t xml:space="preserve">subject to </w:t>
      </w:r>
      <w:r>
        <w:t xml:space="preserve">its second 3-year </w:t>
      </w:r>
      <w:r w:rsidR="00BF3338">
        <w:t xml:space="preserve">solicitation </w:t>
      </w:r>
      <w:r>
        <w:t>cycle include the clerical support units, fallers and faller modules, G</w:t>
      </w:r>
      <w:r w:rsidR="002769B9">
        <w:t xml:space="preserve">eographic </w:t>
      </w:r>
      <w:r>
        <w:t>I</w:t>
      </w:r>
      <w:r w:rsidR="002769B9">
        <w:t xml:space="preserve">nformation </w:t>
      </w:r>
      <w:r>
        <w:t>S</w:t>
      </w:r>
      <w:r w:rsidR="002769B9">
        <w:t>ystem</w:t>
      </w:r>
      <w:r>
        <w:t xml:space="preserve"> units, heavy equipment, mechanics with service trucks, and tents.  The new solicitations developed are the communication traile</w:t>
      </w:r>
      <w:r w:rsidR="002769B9">
        <w:t>r and weed washing units.  The applicable</w:t>
      </w:r>
      <w:r>
        <w:t xml:space="preserve"> </w:t>
      </w:r>
      <w:r w:rsidR="005F44E7">
        <w:t xml:space="preserve">abbreviated </w:t>
      </w:r>
      <w:r>
        <w:t>solicitations are enclosed</w:t>
      </w:r>
      <w:r w:rsidR="002769B9">
        <w:t xml:space="preserve"> for review</w:t>
      </w:r>
      <w:r>
        <w:t xml:space="preserve">.  A sample of a </w:t>
      </w:r>
      <w:hyperlink r:id="rId6" w:anchor="2010" w:history="1">
        <w:r>
          <w:rPr>
            <w:rStyle w:val="Hyperlink"/>
          </w:rPr>
          <w:t>co</w:t>
        </w:r>
        <w:r>
          <w:rPr>
            <w:rStyle w:val="Hyperlink"/>
          </w:rPr>
          <w:t>m</w:t>
        </w:r>
        <w:r>
          <w:rPr>
            <w:rStyle w:val="Hyperlink"/>
          </w:rPr>
          <w:t xml:space="preserve">plete </w:t>
        </w:r>
        <w:r w:rsidRPr="000A5335">
          <w:rPr>
            <w:rStyle w:val="Hyperlink"/>
          </w:rPr>
          <w:t>solicitation te</w:t>
        </w:r>
        <w:r w:rsidRPr="000A5335">
          <w:rPr>
            <w:rStyle w:val="Hyperlink"/>
          </w:rPr>
          <w:t>m</w:t>
        </w:r>
        <w:r w:rsidRPr="000A5335">
          <w:rPr>
            <w:rStyle w:val="Hyperlink"/>
          </w:rPr>
          <w:t>plate</w:t>
        </w:r>
      </w:hyperlink>
      <w:r>
        <w:t xml:space="preserve"> may be found on the Incident Procurement Web site.  </w:t>
      </w:r>
      <w:r w:rsidR="002769B9">
        <w:t>The draft solicitations will</w:t>
      </w:r>
      <w:r w:rsidR="005F44E7">
        <w:t xml:space="preserve"> be posted on </w:t>
      </w:r>
      <w:hyperlink r:id="rId7" w:history="1">
        <w:r w:rsidR="005F44E7" w:rsidRPr="00841951">
          <w:rPr>
            <w:rStyle w:val="Hyperlink"/>
          </w:rPr>
          <w:t>FedBiz</w:t>
        </w:r>
        <w:r w:rsidR="005F44E7" w:rsidRPr="00841951">
          <w:rPr>
            <w:rStyle w:val="Hyperlink"/>
          </w:rPr>
          <w:t>O</w:t>
        </w:r>
        <w:r w:rsidR="005F44E7" w:rsidRPr="00841951">
          <w:rPr>
            <w:rStyle w:val="Hyperlink"/>
          </w:rPr>
          <w:t>pps</w:t>
        </w:r>
      </w:hyperlink>
      <w:r w:rsidR="005F44E7">
        <w:t xml:space="preserve"> for vendors to review and offer comment.  </w:t>
      </w:r>
      <w:r>
        <w:t xml:space="preserve">If any part of the specifications will have a </w:t>
      </w:r>
      <w:r w:rsidRPr="00B93F3B">
        <w:t>major</w:t>
      </w:r>
      <w:r>
        <w:t xml:space="preserve"> affect on the ability to support fire suppression and all-risk incidents, provide comments to </w:t>
      </w:r>
      <w:hyperlink r:id="rId8" w:history="1">
        <w:r w:rsidRPr="00CA2A99">
          <w:rPr>
            <w:rStyle w:val="Hyperlink"/>
            <w:bCs/>
          </w:rPr>
          <w:t>vrdpist@fs.fed.us</w:t>
        </w:r>
      </w:hyperlink>
      <w:r>
        <w:rPr>
          <w:b/>
          <w:bCs/>
        </w:rPr>
        <w:t xml:space="preserve"> </w:t>
      </w:r>
      <w:r w:rsidR="00730A6A">
        <w:rPr>
          <w:bCs/>
        </w:rPr>
        <w:t>by May 23</w:t>
      </w:r>
      <w:r>
        <w:rPr>
          <w:bCs/>
        </w:rPr>
        <w:t xml:space="preserve">, 2010.  </w:t>
      </w:r>
    </w:p>
    <w:p w:rsidR="00A175AB" w:rsidRDefault="00A175AB" w:rsidP="00A175AB"/>
    <w:p w:rsidR="00A175AB" w:rsidRDefault="00A175AB" w:rsidP="00A175AB">
      <w:r>
        <w:t xml:space="preserve">Soliciting for this equipment is in accordance with the </w:t>
      </w:r>
      <w:hyperlink r:id="rId9" w:history="1">
        <w:r w:rsidRPr="002E4D85">
          <w:rPr>
            <w:rStyle w:val="Hyperlink"/>
            <w:bCs/>
          </w:rPr>
          <w:t>National Solic</w:t>
        </w:r>
        <w:r w:rsidRPr="002E4D85">
          <w:rPr>
            <w:rStyle w:val="Hyperlink"/>
            <w:bCs/>
          </w:rPr>
          <w:t>i</w:t>
        </w:r>
        <w:r w:rsidRPr="002E4D85">
          <w:rPr>
            <w:rStyle w:val="Hyperlink"/>
            <w:bCs/>
          </w:rPr>
          <w:t>tation Plan for Competitive Preseason Incident BPAs</w:t>
        </w:r>
      </w:hyperlink>
      <w:r>
        <w:t xml:space="preserve">. </w:t>
      </w:r>
    </w:p>
    <w:p w:rsidR="00A175AB" w:rsidRDefault="00A175AB" w:rsidP="00A175AB"/>
    <w:p w:rsidR="00A175AB" w:rsidRPr="001A3529" w:rsidRDefault="00A175AB" w:rsidP="00A175AB">
      <w:r>
        <w:t>If you have any questions, please contact Tory Henderson</w:t>
      </w:r>
      <w:r w:rsidR="002769B9">
        <w:t xml:space="preserve"> at </w:t>
      </w:r>
      <w:hyperlink r:id="rId10" w:history="1">
        <w:r w:rsidR="00CA2A99" w:rsidRPr="005E1047">
          <w:rPr>
            <w:rStyle w:val="Hyperlink"/>
          </w:rPr>
          <w:t>thenderson@fs.fed.us</w:t>
        </w:r>
      </w:hyperlink>
      <w:r w:rsidR="00CA2A99">
        <w:t xml:space="preserve"> </w:t>
      </w:r>
      <w:r>
        <w:t xml:space="preserve">or </w:t>
      </w:r>
      <w:r w:rsidR="002769B9">
        <w:t xml:space="preserve">Shane  LaValley at </w:t>
      </w:r>
      <w:hyperlink r:id="rId11" w:history="1">
        <w:r w:rsidR="00CA2A99" w:rsidRPr="005E1047">
          <w:rPr>
            <w:rStyle w:val="Hyperlink"/>
          </w:rPr>
          <w:t>slavalley@fs.fed.us</w:t>
        </w:r>
      </w:hyperlink>
      <w:r w:rsidR="00CA2A99">
        <w:t xml:space="preserve">. </w:t>
      </w:r>
    </w:p>
    <w:tbl>
      <w:tblPr>
        <w:tblW w:w="9468" w:type="dxa"/>
        <w:tblLook w:val="0000"/>
      </w:tblPr>
      <w:tblGrid>
        <w:gridCol w:w="4788"/>
        <w:gridCol w:w="4680"/>
      </w:tblGrid>
      <w:tr w:rsidR="001A531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A531F" w:rsidRDefault="001A531F">
            <w:pPr>
              <w:pStyle w:val="Signature"/>
              <w:rPr>
                <w:color w:val="auto"/>
              </w:rPr>
            </w:pPr>
          </w:p>
          <w:p w:rsidR="001A531F" w:rsidRDefault="001A531F">
            <w:pPr>
              <w:pStyle w:val="Signature"/>
              <w:rPr>
                <w:color w:val="auto"/>
              </w:rPr>
            </w:pPr>
          </w:p>
          <w:p w:rsidR="001A531F" w:rsidRDefault="001A531F">
            <w:pPr>
              <w:pStyle w:val="Signature"/>
              <w:rPr>
                <w:color w:val="auto"/>
              </w:rPr>
            </w:pPr>
          </w:p>
        </w:tc>
        <w:tc>
          <w:tcPr>
            <w:tcW w:w="4680" w:type="dxa"/>
          </w:tcPr>
          <w:p w:rsidR="001A531F" w:rsidRDefault="001A531F">
            <w:pPr>
              <w:pStyle w:val="Signature"/>
              <w:rPr>
                <w:color w:val="auto"/>
              </w:rPr>
            </w:pPr>
          </w:p>
        </w:tc>
      </w:tr>
      <w:tr w:rsidR="001A531F" w:rsidRPr="00FA4D7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A531F" w:rsidRPr="00FA4D7C" w:rsidRDefault="006D3138">
            <w:pPr>
              <w:pStyle w:val="Signature"/>
              <w:rPr>
                <w:i/>
                <w:caps w:val="0"/>
                <w:color w:val="auto"/>
              </w:rPr>
            </w:pPr>
            <w:bookmarkStart w:id="12" w:name="Sig1_1"/>
            <w:r>
              <w:rPr>
                <w:i/>
                <w:caps w:val="0"/>
                <w:color w:val="auto"/>
              </w:rPr>
              <w:t>/s/ Charles L. Myers</w:t>
            </w:r>
            <w:bookmarkEnd w:id="12"/>
          </w:p>
        </w:tc>
        <w:tc>
          <w:tcPr>
            <w:tcW w:w="4680" w:type="dxa"/>
          </w:tcPr>
          <w:p w:rsidR="001A531F" w:rsidRPr="00FA4D7C" w:rsidRDefault="006D3138">
            <w:pPr>
              <w:pStyle w:val="Signature"/>
              <w:rPr>
                <w:i/>
                <w:caps w:val="0"/>
                <w:color w:val="auto"/>
              </w:rPr>
            </w:pPr>
            <w:bookmarkStart w:id="13" w:name="Sig2_1"/>
            <w:r>
              <w:rPr>
                <w:i/>
                <w:caps w:val="0"/>
                <w:color w:val="auto"/>
              </w:rPr>
              <w:t>/s/ James E. Hubbard</w:t>
            </w:r>
            <w:bookmarkEnd w:id="13"/>
          </w:p>
        </w:tc>
      </w:tr>
      <w:tr w:rsidR="001A531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A531F" w:rsidRDefault="006D3138">
            <w:bookmarkStart w:id="14" w:name="Sig1_2"/>
            <w:r>
              <w:t>CHARLES L. MYERS</w:t>
            </w:r>
            <w:bookmarkEnd w:id="14"/>
          </w:p>
        </w:tc>
        <w:tc>
          <w:tcPr>
            <w:tcW w:w="4680" w:type="dxa"/>
          </w:tcPr>
          <w:p w:rsidR="001A531F" w:rsidRDefault="006D3138">
            <w:bookmarkStart w:id="15" w:name="Sig2_2"/>
            <w:r>
              <w:t>JAMES E. HUBBARD</w:t>
            </w:r>
            <w:bookmarkEnd w:id="15"/>
          </w:p>
        </w:tc>
      </w:tr>
      <w:tr w:rsidR="001A531F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A531F" w:rsidRDefault="006D3138">
            <w:bookmarkStart w:id="16" w:name="Sig1_3"/>
            <w:r>
              <w:t>Deputy Chief for Business Operations</w:t>
            </w:r>
            <w:bookmarkEnd w:id="16"/>
          </w:p>
          <w:p w:rsidR="00464127" w:rsidRDefault="00464127"/>
          <w:p w:rsidR="00464127" w:rsidRDefault="00464127">
            <w:r>
              <w:t>Enclosures (8)</w:t>
            </w:r>
          </w:p>
        </w:tc>
        <w:tc>
          <w:tcPr>
            <w:tcW w:w="4680" w:type="dxa"/>
          </w:tcPr>
          <w:p w:rsidR="001A531F" w:rsidRDefault="006D3138">
            <w:bookmarkStart w:id="17" w:name="Sig2_3"/>
            <w:r>
              <w:t>Deputy Chief, State and Private Forestry</w:t>
            </w:r>
            <w:bookmarkEnd w:id="17"/>
          </w:p>
          <w:p w:rsidR="00464127" w:rsidRDefault="00464127"/>
          <w:p w:rsidR="00464127" w:rsidRDefault="00464127"/>
        </w:tc>
      </w:tr>
    </w:tbl>
    <w:p w:rsidR="001A531F" w:rsidRDefault="001A531F"/>
    <w:p w:rsidR="006D3138" w:rsidRDefault="006D3138">
      <w:bookmarkStart w:id="18" w:name="Ccnamefinal"/>
      <w:r>
        <w:t>cc:  pdl wo ops aqm directors</w:t>
      </w:r>
    </w:p>
    <w:p w:rsidR="006D3138" w:rsidRDefault="006D3138">
      <w:r>
        <w:t>pdl wo spf fam regional fire directors</w:t>
      </w:r>
    </w:p>
    <w:p w:rsidR="006D3138" w:rsidRDefault="006D3138">
      <w:r>
        <w:t>pdl wo ops aqm vipr liaisons</w:t>
      </w:r>
    </w:p>
    <w:p w:rsidR="006D3138" w:rsidRDefault="006D3138">
      <w:r>
        <w:t>Ronald Wester</w:t>
      </w:r>
    </w:p>
    <w:p w:rsidR="006D3138" w:rsidRDefault="006D3138">
      <w:r>
        <w:t>Sarah R Fisher</w:t>
      </w:r>
    </w:p>
    <w:p w:rsidR="001A531F" w:rsidRDefault="006D3138">
      <w:r>
        <w:t xml:space="preserve">Tory Henderson   </w:t>
      </w:r>
      <w:bookmarkEnd w:id="18"/>
    </w:p>
    <w:sectPr w:rsidR="001A531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36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25" w:rsidRDefault="002F0325">
      <w:r>
        <w:separator/>
      </w:r>
    </w:p>
  </w:endnote>
  <w:endnote w:type="continuationSeparator" w:id="0">
    <w:p w:rsidR="002F0325" w:rsidRDefault="002F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B9" w:rsidRDefault="000E4CB9">
    <w:pPr>
      <w:pStyle w:val="HdrFtr"/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B9" w:rsidRDefault="00857648">
    <w:pPr>
      <w:pStyle w:val="HdrFtr"/>
      <w:widowControl/>
      <w:tabs>
        <w:tab w:val="clear" w:pos="5040"/>
        <w:tab w:val="clear" w:pos="10080"/>
        <w:tab w:val="center" w:pos="4680"/>
        <w:tab w:val="right" w:pos="9900"/>
      </w:tabs>
      <w:ind w:left="-540" w:right="-809"/>
    </w:pPr>
    <w:r>
      <w:rPr>
        <w:noProof/>
      </w:rPr>
      <w:drawing>
        <wp:inline distT="0" distB="0" distL="0" distR="0">
          <wp:extent cx="489585" cy="320675"/>
          <wp:effectExtent l="19050" t="0" r="5715" b="0"/>
          <wp:docPr id="2" name="Picture 2" descr="usda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da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32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4CB9">
      <w:tab/>
    </w:r>
    <w:smartTag w:uri="urn:schemas-microsoft-com:office:smarttags" w:element="place">
      <w:smartTag w:uri="urn:schemas-microsoft-com:office:smarttags" w:element="country-region">
        <w:r w:rsidR="000E4CB9">
          <w:rPr>
            <w:b/>
            <w:bCs/>
            <w:sz w:val="20"/>
            <w:szCs w:val="20"/>
          </w:rPr>
          <w:t>America</w:t>
        </w:r>
      </w:smartTag>
    </w:smartTag>
    <w:r w:rsidR="000E4CB9">
      <w:rPr>
        <w:b/>
        <w:bCs/>
        <w:sz w:val="20"/>
        <w:szCs w:val="20"/>
      </w:rPr>
      <w:t>’s Working Forests – Caring Every Day in Every Way</w:t>
    </w:r>
    <w:r w:rsidR="000E4CB9">
      <w:rPr>
        <w:b/>
        <w:bCs/>
        <w:sz w:val="20"/>
        <w:szCs w:val="20"/>
      </w:rPr>
      <w:tab/>
    </w:r>
    <w:r w:rsidR="000E4CB9">
      <w:rPr>
        <w:rFonts w:ascii="Helvetica" w:hAnsi="Helvetica"/>
        <w:sz w:val="12"/>
        <w:szCs w:val="12"/>
      </w:rPr>
      <w:t xml:space="preserve">Printed on Recycled Paper </w:t>
    </w:r>
    <w:r w:rsidR="000E4CB9">
      <w:rPr>
        <w:rFonts w:ascii="Helvetica" w:hAnsi="Helvetica"/>
        <w:sz w:val="16"/>
        <w:szCs w:val="16"/>
      </w:rPr>
      <w:t xml:space="preserve">   </w:t>
    </w:r>
    <w:r>
      <w:rPr>
        <w:noProof/>
      </w:rPr>
      <w:drawing>
        <wp:inline distT="0" distB="0" distL="0" distR="0">
          <wp:extent cx="208280" cy="224790"/>
          <wp:effectExtent l="19050" t="0" r="1270" b="0"/>
          <wp:docPr id="3" name="Picture 3" descr="recycle1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11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" cy="22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CB9" w:rsidRDefault="000E4C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25" w:rsidRDefault="002F0325">
      <w:r>
        <w:separator/>
      </w:r>
    </w:p>
  </w:footnote>
  <w:footnote w:type="continuationSeparator" w:id="0">
    <w:p w:rsidR="002F0325" w:rsidRDefault="002F0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B9" w:rsidRDefault="000E4CB9">
    <w:pPr>
      <w:pStyle w:val="HdrFtr"/>
      <w:widowControl/>
      <w:tabs>
        <w:tab w:val="clear" w:pos="5040"/>
        <w:tab w:val="clear" w:pos="10080"/>
        <w:tab w:val="right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B9" w:rsidRDefault="000E4CB9" w:rsidP="001A531F">
    <w:pPr>
      <w:pStyle w:val="HdrFtr"/>
      <w:widowControl/>
    </w:pPr>
  </w:p>
  <w:tbl>
    <w:tblPr>
      <w:tblW w:w="10620" w:type="dxa"/>
      <w:tblInd w:w="-810" w:type="dxa"/>
      <w:tblLayout w:type="fixed"/>
      <w:tblCellMar>
        <w:left w:w="0" w:type="dxa"/>
        <w:right w:w="0" w:type="dxa"/>
      </w:tblCellMar>
      <w:tblLook w:val="0000"/>
    </w:tblPr>
    <w:tblGrid>
      <w:gridCol w:w="810"/>
      <w:gridCol w:w="3060"/>
      <w:gridCol w:w="1260"/>
      <w:gridCol w:w="2340"/>
      <w:gridCol w:w="3150"/>
    </w:tblGrid>
    <w:tr w:rsidR="000E4C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E4CB9" w:rsidRDefault="00857648" w:rsidP="001A531F">
          <w:pPr>
            <w:pStyle w:val="HdrFtr"/>
            <w:widowControl/>
            <w:ind w:right="144"/>
          </w:pPr>
          <w:r>
            <w:rPr>
              <w:noProof/>
            </w:rPr>
            <w:drawing>
              <wp:inline distT="0" distB="0" distL="0" distR="0">
                <wp:extent cx="248920" cy="232410"/>
                <wp:effectExtent l="19050" t="0" r="0" b="0"/>
                <wp:docPr id="1" name="Picture 1" descr="fsshield1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sshield12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2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0E4CB9" w:rsidRDefault="000E4CB9" w:rsidP="003849B9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smartTag w:uri="urn:schemas-microsoft-com:office:smarttags" w:element="place">
            <w:r>
              <w:rPr>
                <w:b/>
                <w:bCs/>
                <w:sz w:val="20"/>
                <w:szCs w:val="20"/>
              </w:rPr>
              <w:t>Forest</w:t>
            </w:r>
          </w:smartTag>
        </w:p>
        <w:p w:rsidR="000E4CB9" w:rsidRDefault="000E4CB9" w:rsidP="003849B9">
          <w:pPr>
            <w:pStyle w:val="HdrFtr"/>
            <w:widowControl/>
            <w:ind w:left="90" w:right="144"/>
          </w:pPr>
          <w:r>
            <w:rPr>
              <w:b/>
              <w:bCs/>
              <w:sz w:val="20"/>
              <w:szCs w:val="20"/>
            </w:rPr>
            <w:t>Service</w:t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</w:tcPr>
        <w:p w:rsidR="000E4CB9" w:rsidRDefault="000E4CB9" w:rsidP="001A531F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0E4CB9" w:rsidRDefault="000E4CB9" w:rsidP="001A531F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b/>
                  <w:bCs/>
                  <w:sz w:val="20"/>
                  <w:szCs w:val="20"/>
                </w:rPr>
                <w:t>Washington</w:t>
              </w:r>
            </w:smartTag>
          </w:smartTag>
        </w:p>
        <w:p w:rsidR="000E4CB9" w:rsidRDefault="000E4CB9" w:rsidP="001A531F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Office</w:t>
          </w:r>
        </w:p>
      </w:tc>
      <w:tc>
        <w:tcPr>
          <w:tcW w:w="3150" w:type="dxa"/>
          <w:tcBorders>
            <w:top w:val="nil"/>
            <w:left w:val="nil"/>
            <w:bottom w:val="nil"/>
            <w:right w:val="nil"/>
          </w:tcBorders>
        </w:tcPr>
        <w:p w:rsidR="000E4CB9" w:rsidRDefault="000E4CB9" w:rsidP="001A531F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b/>
                  <w:bCs/>
                  <w:sz w:val="20"/>
                  <w:szCs w:val="20"/>
                </w:rPr>
                <w:t>1400 Independence Avenue, SW</w:t>
              </w:r>
            </w:smartTag>
          </w:smartTag>
        </w:p>
        <w:p w:rsidR="000E4CB9" w:rsidRDefault="000E4CB9" w:rsidP="001A531F">
          <w:pPr>
            <w:pStyle w:val="HdrFtr"/>
            <w:widowControl/>
            <w:ind w:left="144" w:right="144"/>
          </w:pPr>
          <w:smartTag w:uri="urn:schemas-microsoft-com:office:smarttags" w:element="place">
            <w:smartTag w:uri="urn:schemas-microsoft-com:office:smarttags" w:element="City">
              <w:r>
                <w:rPr>
                  <w:b/>
                  <w:bCs/>
                  <w:sz w:val="20"/>
                  <w:szCs w:val="20"/>
                </w:rPr>
                <w:t>Washington</w:t>
              </w:r>
            </w:smartTag>
            <w:r>
              <w:rPr>
                <w:b/>
                <w:bCs/>
                <w:sz w:val="20"/>
                <w:szCs w:val="20"/>
              </w:rPr>
              <w:t xml:space="preserve">, </w:t>
            </w:r>
            <w:smartTag w:uri="urn:schemas-microsoft-com:office:smarttags" w:element="State">
              <w:r>
                <w:rPr>
                  <w:b/>
                  <w:bCs/>
                  <w:sz w:val="20"/>
                  <w:szCs w:val="20"/>
                </w:rPr>
                <w:t>DC</w:t>
              </w:r>
            </w:smartTag>
            <w:r>
              <w:rPr>
                <w:b/>
                <w:bCs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>
                <w:rPr>
                  <w:b/>
                  <w:bCs/>
                  <w:sz w:val="20"/>
                  <w:szCs w:val="20"/>
                </w:rPr>
                <w:t>20250</w:t>
              </w:r>
            </w:smartTag>
          </w:smartTag>
        </w:p>
      </w:tc>
    </w:tr>
  </w:tbl>
  <w:p w:rsidR="000E4CB9" w:rsidRDefault="000E4CB9" w:rsidP="001A531F">
    <w:pPr>
      <w:pStyle w:val="HdrFtr"/>
      <w:widowControl/>
      <w:pBdr>
        <w:top w:val="single" w:sz="2" w:space="0" w:color="000000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31F"/>
    <w:rsid w:val="00001FBE"/>
    <w:rsid w:val="00067C12"/>
    <w:rsid w:val="000E4CB9"/>
    <w:rsid w:val="00143D4A"/>
    <w:rsid w:val="00164C85"/>
    <w:rsid w:val="001A217E"/>
    <w:rsid w:val="001A531F"/>
    <w:rsid w:val="002769B9"/>
    <w:rsid w:val="002A16E4"/>
    <w:rsid w:val="002F0325"/>
    <w:rsid w:val="003849B9"/>
    <w:rsid w:val="003C28D5"/>
    <w:rsid w:val="00464127"/>
    <w:rsid w:val="004939EF"/>
    <w:rsid w:val="005C6EDF"/>
    <w:rsid w:val="005D48B3"/>
    <w:rsid w:val="005F44E7"/>
    <w:rsid w:val="0065269A"/>
    <w:rsid w:val="006C62E3"/>
    <w:rsid w:val="006D3138"/>
    <w:rsid w:val="00730A6A"/>
    <w:rsid w:val="007C2836"/>
    <w:rsid w:val="00857648"/>
    <w:rsid w:val="00A175AB"/>
    <w:rsid w:val="00B93F3B"/>
    <w:rsid w:val="00BF3338"/>
    <w:rsid w:val="00CA2A99"/>
    <w:rsid w:val="00CE1FB0"/>
    <w:rsid w:val="00EA5F09"/>
    <w:rsid w:val="00FA4D7C"/>
    <w:rsid w:val="00FD007B"/>
    <w:rsid w:val="00F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ell">
    <w:name w:val="Cell"/>
    <w:basedOn w:val="Normal"/>
    <w:pPr>
      <w:widowControl w:val="0"/>
      <w:autoSpaceDE w:val="0"/>
      <w:autoSpaceDN w:val="0"/>
      <w:adjustRightInd w:val="0"/>
    </w:pPr>
    <w:rPr>
      <w:rFonts w:ascii="Times" w:hAnsi="Times"/>
      <w:b/>
      <w:bCs/>
      <w:color w:val="000000"/>
      <w:sz w:val="20"/>
      <w:szCs w:val="20"/>
    </w:rPr>
  </w:style>
  <w:style w:type="paragraph" w:customStyle="1" w:styleId="HdrFtr">
    <w:name w:val="HdrFtr"/>
    <w:basedOn w:val="Normal"/>
    <w:pPr>
      <w:widowControl w:val="0"/>
      <w:tabs>
        <w:tab w:val="center" w:pos="5040"/>
        <w:tab w:val="right" w:pos="10080"/>
        <w:tab w:val="right" w:pos="1368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Paragraph">
    <w:name w:val="Paragraph"/>
    <w:basedOn w:val="Normal"/>
    <w:pPr>
      <w:widowControl w:val="0"/>
      <w:autoSpaceDE w:val="0"/>
      <w:autoSpaceDN w:val="0"/>
      <w:adjustRightInd w:val="0"/>
      <w:spacing w:after="172"/>
    </w:pPr>
    <w:rPr>
      <w:rFonts w:ascii="Times" w:hAnsi="Times"/>
      <w:color w:val="000000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</w:pPr>
    <w:rPr>
      <w:rFonts w:ascii="Times" w:hAnsi="Times"/>
      <w:caps/>
      <w:color w:val="000000"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WorkingTitle">
    <w:name w:val="WorkingTitle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175AB"/>
    <w:rPr>
      <w:color w:val="0000FF"/>
      <w:u w:val="single"/>
    </w:rPr>
  </w:style>
  <w:style w:type="character" w:styleId="FollowedHyperlink">
    <w:name w:val="FollowedHyperlink"/>
    <w:basedOn w:val="DefaultParagraphFont"/>
    <w:rsid w:val="00B93F3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A1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dpist@fs.fed.u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bo.gov/index?cck=1&amp;au=&amp;ck=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s.fed.us/business/incident/solicitations.php" TargetMode="External"/><Relationship Id="rId11" Type="http://schemas.openxmlformats.org/officeDocument/2006/relationships/hyperlink" Target="mailto:slavalley@fs.fed.us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thenderson@fs.fed.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.fed.us/business/incident/static/eera/Competitive_Solicitation_Plan_Rev102809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National Solicitation Template Review</vt:lpstr>
    </vt:vector>
  </TitlesOfParts>
  <Company>USDA Forest Service</Company>
  <LinksUpToDate>false</LinksUpToDate>
  <CharactersWithSpaces>2531</CharactersWithSpaces>
  <SharedDoc>false</SharedDoc>
  <HLinks>
    <vt:vector size="36" baseType="variant">
      <vt:variant>
        <vt:i4>7602205</vt:i4>
      </vt:variant>
      <vt:variant>
        <vt:i4>15</vt:i4>
      </vt:variant>
      <vt:variant>
        <vt:i4>0</vt:i4>
      </vt:variant>
      <vt:variant>
        <vt:i4>5</vt:i4>
      </vt:variant>
      <vt:variant>
        <vt:lpwstr>mailto:slavalley@fs.fed.us</vt:lpwstr>
      </vt:variant>
      <vt:variant>
        <vt:lpwstr/>
      </vt:variant>
      <vt:variant>
        <vt:i4>5111863</vt:i4>
      </vt:variant>
      <vt:variant>
        <vt:i4>12</vt:i4>
      </vt:variant>
      <vt:variant>
        <vt:i4>0</vt:i4>
      </vt:variant>
      <vt:variant>
        <vt:i4>5</vt:i4>
      </vt:variant>
      <vt:variant>
        <vt:lpwstr>mailto:thenderson@fs.fed.us</vt:lpwstr>
      </vt:variant>
      <vt:variant>
        <vt:lpwstr/>
      </vt:variant>
      <vt:variant>
        <vt:i4>6094952</vt:i4>
      </vt:variant>
      <vt:variant>
        <vt:i4>9</vt:i4>
      </vt:variant>
      <vt:variant>
        <vt:i4>0</vt:i4>
      </vt:variant>
      <vt:variant>
        <vt:i4>5</vt:i4>
      </vt:variant>
      <vt:variant>
        <vt:lpwstr>http://www.fs.fed.us/business/incident/static/eera/Competitive_Solicitation_Plan_Rev102809.pdf</vt:lpwstr>
      </vt:variant>
      <vt:variant>
        <vt:lpwstr/>
      </vt:variant>
      <vt:variant>
        <vt:i4>1900671</vt:i4>
      </vt:variant>
      <vt:variant>
        <vt:i4>6</vt:i4>
      </vt:variant>
      <vt:variant>
        <vt:i4>0</vt:i4>
      </vt:variant>
      <vt:variant>
        <vt:i4>5</vt:i4>
      </vt:variant>
      <vt:variant>
        <vt:lpwstr>mailto:vrdpist@fs.fed.us</vt:lpwstr>
      </vt:variant>
      <vt:variant>
        <vt:lpwstr/>
      </vt:variant>
      <vt:variant>
        <vt:i4>3145771</vt:i4>
      </vt:variant>
      <vt:variant>
        <vt:i4>3</vt:i4>
      </vt:variant>
      <vt:variant>
        <vt:i4>0</vt:i4>
      </vt:variant>
      <vt:variant>
        <vt:i4>5</vt:i4>
      </vt:variant>
      <vt:variant>
        <vt:lpwstr>https://www.fbo.gov/index?cck=1&amp;au=&amp;ck=</vt:lpwstr>
      </vt:variant>
      <vt:variant>
        <vt:lpwstr/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>http://www.fs.fed.us/business/incident/solicitations.php</vt:lpwstr>
      </vt:variant>
      <vt:variant>
        <vt:lpwstr>2010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National Solicitation Template Review</dc:title>
  <dc:subject>2011 National Solicitation Template Review</dc:subject>
  <dc:creator>IBM_USER</dc:creator>
  <cp:keywords/>
  <dc:description/>
  <cp:lastModifiedBy>cemch</cp:lastModifiedBy>
  <cp:revision>3</cp:revision>
  <cp:lastPrinted>2010-04-22T20:33:00Z</cp:lastPrinted>
  <dcterms:created xsi:type="dcterms:W3CDTF">2010-04-26T15:14:00Z</dcterms:created>
  <dcterms:modified xsi:type="dcterms:W3CDTF">2010-04-26T15:16:00Z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Code" linkTarget="FileCode">
    <vt:lpwstr>6300/5100</vt:lpwstr>
  </property>
  <property fmtid="{D5CDD505-2E9C-101B-9397-08002B2CF9AE}" pid="3" name="Addressee" linkTarget="Addressee">
    <vt:lpwstr>Regional Foresters, Station Directors, Area Director, IITF Director and Deputy Chiefs </vt:lpwstr>
  </property>
  <property fmtid="{D5CDD505-2E9C-101B-9397-08002B2CF9AE}" pid="4" name="ReplyDue" linkTarget="ReplyDue">
    <vt:lpwstr>OPTIONAL REPLY DUE MAY 23, 2010</vt:lpwstr>
  </property>
  <property fmtid="{D5CDD505-2E9C-101B-9397-08002B2CF9AE}" pid="5" name="SigDate" linkTarget="SigDate">
    <vt:lpwstr>April 23, 2010</vt:lpwstr>
  </property>
  <property fmtid="{D5CDD505-2E9C-101B-9397-08002B2CF9AE}" pid="6" name="Sig1_1" linkTarget="Sig1_1">
    <vt:lpwstr>/s/ Charles L. Myers</vt:lpwstr>
  </property>
  <property fmtid="{D5CDD505-2E9C-101B-9397-08002B2CF9AE}" pid="7" name="Sig1_2" linkTarget="Sig1_2">
    <vt:lpwstr>CHARLES L. MYERS</vt:lpwstr>
  </property>
  <property fmtid="{D5CDD505-2E9C-101B-9397-08002B2CF9AE}" pid="8" name="Sig1_3" linkTarget="Sig1_3">
    <vt:lpwstr>Deputy Chief for Business Operations</vt:lpwstr>
  </property>
  <property fmtid="{D5CDD505-2E9C-101B-9397-08002B2CF9AE}" pid="9" name="Sig2_1" linkTarget="Sig2_1">
    <vt:lpwstr>/s/ James E. Hubbard</vt:lpwstr>
  </property>
  <property fmtid="{D5CDD505-2E9C-101B-9397-08002B2CF9AE}" pid="10" name="Sig2_2" linkTarget="Sig2_2">
    <vt:lpwstr>JAMES E. HUBBARD</vt:lpwstr>
  </property>
  <property fmtid="{D5CDD505-2E9C-101B-9397-08002B2CF9AE}" pid="11" name="Sig2_3" linkTarget="Sig2_3">
    <vt:lpwstr>Deputy Chief, State and Private Forestry</vt:lpwstr>
  </property>
  <property fmtid="{D5CDD505-2E9C-101B-9397-08002B2CF9AE}" pid="12" name="Sig3_1" linkTarget="Sig3_1">
    <vt:lpwstr> </vt:lpwstr>
  </property>
  <property fmtid="{D5CDD505-2E9C-101B-9397-08002B2CF9AE}" pid="13" name="Sig3_2" linkTarget="Sig3_2">
    <vt:lpwstr> </vt:lpwstr>
  </property>
  <property fmtid="{D5CDD505-2E9C-101B-9397-08002B2CF9AE}" pid="14" name="Sig3_3" linkTarget="Sig3_3">
    <vt:lpwstr> </vt:lpwstr>
  </property>
  <property fmtid="{D5CDD505-2E9C-101B-9397-08002B2CF9AE}" pid="15" name="Sig4_1" linkTarget="Sig4_1">
    <vt:lpwstr> </vt:lpwstr>
  </property>
  <property fmtid="{D5CDD505-2E9C-101B-9397-08002B2CF9AE}" pid="16" name="Sig4_2" linkTarget="Sig4_2">
    <vt:lpwstr> </vt:lpwstr>
  </property>
  <property fmtid="{D5CDD505-2E9C-101B-9397-08002B2CF9AE}" pid="17" name="Sig4_3" linkTarget="Sig4_3">
    <vt:lpwstr> </vt:lpwstr>
  </property>
  <property fmtid="{D5CDD505-2E9C-101B-9397-08002B2CF9AE}" pid="18" name="Sig5_1" linkTarget="Sig5_1">
    <vt:lpwstr> </vt:lpwstr>
  </property>
  <property fmtid="{D5CDD505-2E9C-101B-9397-08002B2CF9AE}" pid="19" name="Sig5_2" linkTarget="Sig5_2">
    <vt:lpwstr> </vt:lpwstr>
  </property>
  <property fmtid="{D5CDD505-2E9C-101B-9397-08002B2CF9AE}" pid="20" name="Sig5_3" linkTarget="Sig5_3">
    <vt:lpwstr> </vt:lpwstr>
  </property>
  <property fmtid="{D5CDD505-2E9C-101B-9397-08002B2CF9AE}" pid="21" name="Sig6_1" linkTarget="Sig6_1">
    <vt:lpwstr> </vt:lpwstr>
  </property>
  <property fmtid="{D5CDD505-2E9C-101B-9397-08002B2CF9AE}" pid="22" name="Sig6_2" linkTarget="Sig6_2">
    <vt:lpwstr> </vt:lpwstr>
  </property>
  <property fmtid="{D5CDD505-2E9C-101B-9397-08002B2CF9AE}" pid="23" name="Sig6_3" linkTarget="Sig6_3">
    <vt:lpwstr> </vt:lpwstr>
  </property>
  <property fmtid="{D5CDD505-2E9C-101B-9397-08002B2CF9AE}" pid="24" name="Sig7_1" linkTarget="Sig7_1">
    <vt:lpwstr> </vt:lpwstr>
  </property>
  <property fmtid="{D5CDD505-2E9C-101B-9397-08002B2CF9AE}" pid="25" name="Sig7_2" linkTarget="Sig7_2">
    <vt:lpwstr> </vt:lpwstr>
  </property>
  <property fmtid="{D5CDD505-2E9C-101B-9397-08002B2CF9AE}" pid="26" name="Sig7_3" linkTarget="Sig7_3">
    <vt:lpwstr> </vt:lpwstr>
  </property>
  <property fmtid="{D5CDD505-2E9C-101B-9397-08002B2CF9AE}" pid="27" name="Sig8_1" linkTarget="Sig8_1">
    <vt:lpwstr> </vt:lpwstr>
  </property>
  <property fmtid="{D5CDD505-2E9C-101B-9397-08002B2CF9AE}" pid="28" name="Sig8_2" linkTarget="Sig8_2">
    <vt:lpwstr> </vt:lpwstr>
  </property>
  <property fmtid="{D5CDD505-2E9C-101B-9397-08002B2CF9AE}" pid="29" name="Sig8_3" linkTarget="Sig8_3">
    <vt:lpwstr> </vt:lpwstr>
  </property>
  <property fmtid="{D5CDD505-2E9C-101B-9397-08002B2CF9AE}" pid="30" name="Sig9_1" linkTarget="Sig9_1">
    <vt:lpwstr> </vt:lpwstr>
  </property>
  <property fmtid="{D5CDD505-2E9C-101B-9397-08002B2CF9AE}" pid="31" name="Sig9_2" linkTarget="Sig9_2">
    <vt:lpwstr> </vt:lpwstr>
  </property>
  <property fmtid="{D5CDD505-2E9C-101B-9397-08002B2CF9AE}" pid="32" name="Sig9_3" linkTarget="Sig9_3">
    <vt:lpwstr> </vt:lpwstr>
  </property>
  <property fmtid="{D5CDD505-2E9C-101B-9397-08002B2CF9AE}" pid="33" name="RouteToList" linkTarget="RouteToCode">
    <vt:lpwstr> </vt:lpwstr>
  </property>
  <property fmtid="{D5CDD505-2E9C-101B-9397-08002B2CF9AE}" pid="34" name="Addressee2" linkTarget="Addressee2">
    <vt:lpwstr> </vt:lpwstr>
  </property>
  <property fmtid="{D5CDD505-2E9C-101B-9397-08002B2CF9AE}" pid="35" name="Addressee3" linkTarget="Addressee3">
    <vt:lpwstr> </vt:lpwstr>
  </property>
  <property fmtid="{D5CDD505-2E9C-101B-9397-08002B2CF9AE}" pid="36" name="Addressee4" linkTarget="Addressee4">
    <vt:lpwstr> </vt:lpwstr>
  </property>
  <property fmtid="{D5CDD505-2E9C-101B-9397-08002B2CF9AE}" pid="37" name="Ccname" linkTarget="Ccname">
    <vt:r8>0</vt:r8>
  </property>
  <property fmtid="{D5CDD505-2E9C-101B-9397-08002B2CF9AE}" pid="38" name="Ccname2" linkTarget="Ccname2">
    <vt:lpwstr>her, Tory Henderson</vt:lpwstr>
  </property>
  <property fmtid="{D5CDD505-2E9C-101B-9397-08002B2CF9AE}" pid="39" name="Ccname3" linkTarget="Ccname3">
    <vt:lpwstr> </vt:lpwstr>
  </property>
  <property fmtid="{D5CDD505-2E9C-101B-9397-08002B2CF9AE}" pid="40" name="Ccname4" linkTarget="Ccname4">
    <vt:lpwstr> </vt:lpwstr>
  </property>
  <property fmtid="{D5CDD505-2E9C-101B-9397-08002B2CF9AE}" pid="41" name="docSubject2" linkTarget="docSubject2">
    <vt:lpwstr> </vt:lpwstr>
  </property>
  <property fmtid="{D5CDD505-2E9C-101B-9397-08002B2CF9AE}" pid="42" name="docSubject3" linkTarget="docSubject3">
    <vt:lpwstr> </vt:lpwstr>
  </property>
  <property fmtid="{D5CDD505-2E9C-101B-9397-08002B2CF9AE}" pid="43" name="docSubject4" linkTarget="docSubject4">
    <vt:lpwstr> </vt:lpwstr>
  </property>
  <property fmtid="{D5CDD505-2E9C-101B-9397-08002B2CF9AE}" pid="44" name="docSubject1" linkTarget="docSubject">
    <vt:lpwstr>2011 National Solicitation Template Review</vt:lpwstr>
  </property>
</Properties>
</file>